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9"/>
        </w:tabs>
        <w:rPr>
          <w:rFonts w:hint="default" w:ascii="Times New Roman" w:hAnsi="Times New Roman" w:eastAsiaTheme="minorEastAsia"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color w:val="auto"/>
          <w:sz w:val="28"/>
          <w:szCs w:val="28"/>
        </w:rPr>
        <w:t>3GPP TSG RAN Meeting #</w:t>
      </w:r>
      <w:r>
        <w:rPr>
          <w:rFonts w:hint="eastAsia" w:cs="Arial"/>
          <w:b/>
          <w:color w:val="auto"/>
          <w:sz w:val="28"/>
          <w:szCs w:val="28"/>
          <w:lang w:val="en-US" w:eastAsia="zh-CN"/>
        </w:rPr>
        <w:t>107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ab/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>R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>-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250571</w:t>
      </w:r>
    </w:p>
    <w:p>
      <w:pPr>
        <w:pStyle w:val="24"/>
        <w:tabs>
          <w:tab w:val="right" w:pos="9639"/>
        </w:tabs>
        <w:rPr>
          <w:rFonts w:hint="eastAsia" w:ascii="Times New Roman" w:hAnsi="Times New Roman"/>
          <w:bCs/>
          <w:sz w:val="24"/>
          <w:szCs w:val="24"/>
          <w:lang w:val="en-US" w:eastAsia="en-US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Incheon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 xml:space="preserve">, 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Korea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>, 1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 xml:space="preserve"> – 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14</w:t>
      </w:r>
      <w:r>
        <w:rPr>
          <w:rFonts w:hint="eastAsia" w:ascii="Times New Roman" w:hAnsi="Times New Roman"/>
          <w:bCs/>
          <w:sz w:val="24"/>
          <w:szCs w:val="24"/>
          <w:lang w:val="en-US" w:eastAsia="en-US"/>
        </w:rPr>
        <w:t xml:space="preserve"> March, 2025</w:t>
      </w:r>
    </w:p>
    <w:p>
      <w:pPr>
        <w:pStyle w:val="69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cs="Times New Roman" w:eastAsiaTheme="minorEastAsia"/>
          <w:b/>
          <w:bCs/>
          <w:sz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b/>
          <w:bCs/>
          <w:sz w:val="24"/>
          <w:lang w:val="pt-PT" w:eastAsia="en-US" w:bidi="ar-SA"/>
        </w:rPr>
        <w:t xml:space="preserve">Agenda item: </w:t>
      </w:r>
      <w:r>
        <w:rPr>
          <w:rFonts w:ascii="Times New Roman" w:hAnsi="Times New Roman" w:cs="Times New Roman" w:eastAsiaTheme="minorEastAsia"/>
          <w:b/>
          <w:bCs/>
          <w:sz w:val="24"/>
          <w:lang w:val="pt-PT" w:eastAsia="en-US" w:bidi="ar-SA"/>
        </w:rPr>
        <w:tab/>
      </w:r>
      <w:r>
        <w:rPr>
          <w:rFonts w:hint="eastAsia" w:ascii="Times New Roman" w:hAnsi="Times New Roman" w:cs="Times New Roman" w:eastAsiaTheme="minorEastAsia"/>
          <w:b/>
          <w:bCs/>
          <w:sz w:val="24"/>
          <w:lang w:val="en-US" w:eastAsia="zh-CN" w:bidi="ar-SA"/>
        </w:rPr>
        <w:t xml:space="preserve">    </w:t>
      </w:r>
      <w:r>
        <w:rPr>
          <w:rFonts w:ascii="Times New Roman" w:hAnsi="Times New Roman" w:cs="Times New Roman" w:eastAsiaTheme="minorEastAsia"/>
          <w:b/>
          <w:bCs/>
          <w:sz w:val="24"/>
          <w:lang w:val="pt-PT" w:eastAsia="en-US" w:bidi="ar-SA"/>
        </w:rPr>
        <w:t>1</w:t>
      </w:r>
      <w:r>
        <w:rPr>
          <w:rFonts w:hint="eastAsia" w:ascii="Times New Roman" w:hAnsi="Times New Roman" w:cs="Times New Roman" w:eastAsiaTheme="minorEastAsia"/>
          <w:b/>
          <w:bCs/>
          <w:sz w:val="24"/>
          <w:lang w:val="en-US" w:eastAsia="zh-CN" w:bidi="ar-SA"/>
        </w:rPr>
        <w:t>6</w:t>
      </w:r>
      <w:r>
        <w:rPr>
          <w:rFonts w:ascii="Times New Roman" w:hAnsi="Times New Roman" w:cs="Times New Roman" w:eastAsiaTheme="minorEastAsia"/>
          <w:b/>
          <w:bCs/>
          <w:sz w:val="24"/>
          <w:lang w:val="pt-PT" w:eastAsia="en-US" w:bidi="ar-SA"/>
        </w:rPr>
        <w:tab/>
      </w:r>
      <w:r>
        <w:rPr>
          <w:rFonts w:ascii="Times New Roman" w:hAnsi="Times New Roman" w:cs="Times New Roman" w:eastAsiaTheme="minorEastAsia"/>
          <w:b/>
          <w:bCs/>
          <w:sz w:val="24"/>
          <w:lang w:val="pt-PT" w:eastAsia="en-US" w:bidi="ar-SA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Considerations on candidate IMT2030 TPRs for sustainability</w:t>
      </w:r>
      <w:r>
        <w:rPr>
          <w:b/>
          <w:bCs/>
          <w:sz w:val="24"/>
        </w:rPr>
        <w:t xml:space="preserve">  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rFonts w:hint="eastAsia"/>
          <w:sz w:val="22"/>
        </w:rPr>
      </w:pPr>
      <w:r>
        <w:rPr>
          <w:rFonts w:hint="eastAsia"/>
          <w:sz w:val="22"/>
        </w:rPr>
        <w:t>ITU-R WP5D is developing a Report on IMT-2030 Technical Performance Requirements (TPRs), aiming to finalize it by February 2026. Meanwhile, RAN Plenary started the Rel-20 Study Item</w:t>
      </w:r>
      <w:r>
        <w:rPr>
          <w:rFonts w:hint="eastAsia"/>
          <w:sz w:val="22"/>
          <w:lang w:val="en-US" w:eastAsia="zh-CN"/>
        </w:rPr>
        <w:t xml:space="preserve"> [1]</w:t>
      </w:r>
      <w:r>
        <w:rPr>
          <w:rFonts w:hint="eastAsia"/>
          <w:sz w:val="22"/>
        </w:rPr>
        <w:t xml:space="preserve"> focusing on ITU-R IMT-2030 TPRs </w:t>
      </w:r>
      <w:r>
        <w:rPr>
          <w:rFonts w:hint="eastAsia"/>
          <w:sz w:val="22"/>
          <w:lang w:val="en-US" w:eastAsia="zh-CN"/>
        </w:rPr>
        <w:t>on RAN#106 meeting</w:t>
      </w:r>
      <w:r>
        <w:rPr>
          <w:rFonts w:hint="eastAsia"/>
          <w:sz w:val="22"/>
        </w:rPr>
        <w:t>.</w:t>
      </w:r>
    </w:p>
    <w:p>
      <w:pPr>
        <w:jc w:val="both"/>
        <w:rPr>
          <w:rFonts w:hint="eastAsia"/>
          <w:sz w:val="22"/>
        </w:rPr>
      </w:pPr>
      <w:r>
        <w:rPr>
          <w:rFonts w:hint="eastAsia"/>
          <w:sz w:val="22"/>
          <w:lang w:val="en-US" w:eastAsia="zh-CN"/>
        </w:rPr>
        <w:t>At</w:t>
      </w:r>
      <w:r>
        <w:rPr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 xml:space="preserve">the </w:t>
      </w:r>
      <w:r>
        <w:rPr>
          <w:rFonts w:hint="eastAsia"/>
          <w:sz w:val="22"/>
        </w:rPr>
        <w:t>RAN#106</w:t>
      </w:r>
      <w:r>
        <w:rPr>
          <w:rFonts w:hint="eastAsia"/>
          <w:sz w:val="22"/>
          <w:lang w:val="en-US" w:eastAsia="zh-CN"/>
        </w:rPr>
        <w:t xml:space="preserve"> meeting</w:t>
      </w:r>
      <w:r>
        <w:rPr>
          <w:rFonts w:hint="eastAsia"/>
          <w:sz w:val="22"/>
        </w:rPr>
        <w:t xml:space="preserve">, IMT-2030 TPRs including candidate items for IMT-2030 TPRs, definition of candidate IMT-2030 TPRs and target value of candidate IMT-2030 TPRs </w:t>
      </w:r>
      <w:r>
        <w:rPr>
          <w:rFonts w:hint="eastAsia"/>
          <w:sz w:val="22"/>
          <w:lang w:val="en-US" w:eastAsia="zh-CN"/>
        </w:rPr>
        <w:t>have been</w:t>
      </w:r>
      <w:r>
        <w:rPr>
          <w:rFonts w:hint="eastAsia"/>
          <w:sz w:val="22"/>
        </w:rPr>
        <w:t xml:space="preserve"> discussed.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 xml:space="preserve">It </w:t>
      </w:r>
      <w:r>
        <w:rPr>
          <w:rFonts w:hint="eastAsia"/>
          <w:sz w:val="22"/>
          <w:lang w:val="en-US" w:eastAsia="zh-CN"/>
        </w:rPr>
        <w:t>was</w:t>
      </w:r>
      <w:r>
        <w:rPr>
          <w:rFonts w:hint="eastAsia"/>
          <w:sz w:val="22"/>
        </w:rPr>
        <w:t xml:space="preserve"> concluded in RAN#106 that the sustainability/</w:t>
      </w:r>
      <w:r>
        <w:rPr>
          <w:rFonts w:hint="eastAsia"/>
          <w:sz w:val="22"/>
          <w:lang w:val="en-US" w:eastAsia="zh-CN"/>
        </w:rPr>
        <w:t>e</w:t>
      </w:r>
      <w:r>
        <w:rPr>
          <w:rFonts w:hint="eastAsia"/>
          <w:sz w:val="22"/>
        </w:rPr>
        <w:t xml:space="preserve">nergy efficiency </w:t>
      </w:r>
      <w:r>
        <w:rPr>
          <w:rFonts w:hint="eastAsia"/>
          <w:sz w:val="22"/>
          <w:lang w:val="en-US" w:eastAsia="zh-CN"/>
        </w:rPr>
        <w:t>would</w:t>
      </w:r>
      <w:r>
        <w:rPr>
          <w:rFonts w:hint="eastAsia"/>
          <w:sz w:val="22"/>
        </w:rPr>
        <w:t xml:space="preserve"> be considered as candidate items for IMT-2030 TPRs, where the definition of the item will be further discussed. </w:t>
      </w:r>
    </w:p>
    <w:p>
      <w:pPr>
        <w:spacing w:after="0"/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</w:t>
      </w:r>
      <w:r>
        <w:rPr>
          <w:rFonts w:hint="eastAsia"/>
          <w:sz w:val="22"/>
        </w:rPr>
        <w:t>candidate IMT2030 TPRs for sustainability</w:t>
      </w:r>
      <w:r>
        <w:rPr>
          <w:sz w:val="22"/>
          <w:lang w:eastAsia="zh-CN"/>
        </w:rPr>
        <w:t>.</w:t>
      </w:r>
    </w:p>
    <w:p>
      <w:pPr>
        <w:pStyle w:val="2"/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According to ITU-R M.2410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(Minimum requirements related to technical performance for IMT-2020 radio interface(s))</w:t>
      </w:r>
      <w:r>
        <w:rPr>
          <w:rFonts w:hint="eastAsia" w:cs="Times New Roman"/>
          <w:sz w:val="22"/>
          <w:szCs w:val="22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network energy efficiency is the capability of a RIT/SRIT to minimize the radio access network energy consumption in relation to the traffic capacity provided. Device energy efficiency is the capability of the RIT/SRIT to minimize the power consumed by the device modem in relation to the traffic characteristics. This requirement is defined for the purpose of evaluation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in the eMBB usage scenario.</w:t>
      </w:r>
      <w:r>
        <w:rPr>
          <w:rFonts w:hint="eastAsia" w:cs="Times New Roman"/>
          <w:b w:val="0"/>
          <w:bCs w:val="0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In IMT-2020</w:t>
      </w:r>
      <w:r>
        <w:rPr>
          <w:rFonts w:hint="eastAsia" w:cs="Times New Roman"/>
          <w:b w:val="0"/>
          <w:bCs w:val="0"/>
          <w:sz w:val="22"/>
          <w:szCs w:val="22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there is no quantitative TPR requirement for energy efficienc</w:t>
      </w:r>
      <w:r>
        <w:rPr>
          <w:rFonts w:hint="eastAsia" w:cs="Times New Roman"/>
          <w:b w:val="0"/>
          <w:bCs w:val="0"/>
          <w:sz w:val="22"/>
          <w:szCs w:val="22"/>
          <w:lang w:val="en-US" w:eastAsia="zh-CN"/>
        </w:rPr>
        <w:t>y. E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nergy efficiency is evaluated by inspection of support for high sleep ratio and duration. 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  <w:bookmarkStart w:id="0" w:name="_Hlk138160263"/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 xml:space="preserve">Sustainability is </w:t>
      </w:r>
      <w:r>
        <w:rPr>
          <w:rFonts w:hint="eastAsia" w:cs="Times New Roman"/>
          <w:sz w:val="22"/>
          <w:szCs w:val="22"/>
          <w:lang w:val="en-US" w:eastAsia="zh-CN"/>
        </w:rPr>
        <w:t xml:space="preserve">one of the fundamental TPRs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>of IMT-2030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 xml:space="preserve"> One of the principles of IMT2030 system design is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>to</w:t>
      </w:r>
      <w:r>
        <w:rPr>
          <w:rFonts w:hint="eastAsia" w:cs="Times New Roman"/>
          <w:sz w:val="22"/>
          <w:szCs w:val="22"/>
          <w:lang w:val="en-US" w:eastAsia="zh-CN"/>
        </w:rPr>
        <w:t xml:space="preserve"> improve usage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>resources efficien</w:t>
      </w:r>
      <w:r>
        <w:rPr>
          <w:rFonts w:hint="eastAsia" w:cs="Times New Roman"/>
          <w:sz w:val="22"/>
          <w:szCs w:val="22"/>
          <w:lang w:val="en-US" w:eastAsia="zh-CN"/>
        </w:rPr>
        <w:t>cy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  <w:t xml:space="preserve"> by minimizing power consumption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.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It is necessary to define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quantitative technical performance requirements to evaluate the energy efficiency of candidate RIT.</w:t>
      </w:r>
    </w:p>
    <w:p>
      <w:pPr>
        <w:spacing w:before="120" w:after="120"/>
        <w:jc w:val="both"/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Proposal 1: 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ko-KR"/>
        </w:rPr>
        <w:t xml:space="preserve">It is preferred to define </w:t>
      </w:r>
      <w:bookmarkStart w:id="1" w:name="OLE_LINK1"/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ko-KR"/>
        </w:rPr>
        <w:t>quantitative</w:t>
      </w:r>
      <w:bookmarkEnd w:id="1"/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ko-KR"/>
        </w:rPr>
        <w:t xml:space="preserve"> TPR  for 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sustainability.</w:t>
      </w:r>
    </w:p>
    <w:bookmarkEnd w:id="0"/>
    <w:p>
      <w:pPr>
        <w:spacing w:before="120" w:after="120"/>
        <w:jc w:val="both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Considering the feasibility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and effectiveness of evaluation, it is recommended to consider the following two candidate methods for quantitative definition of sustainability.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Option A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: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 xml:space="preserve">The candidate TPR for sustainability is defined as the </w:t>
      </w:r>
      <w:r>
        <w:rPr>
          <w:rFonts w:hint="eastAsia" w:ascii="Times New Roman" w:hAnsi="Times New Roman" w:cs="Times New Roman" w:eastAsiaTheme="minorEastAsia"/>
          <w:b w:val="0"/>
          <w:bCs w:val="0"/>
          <w:color w:val="auto"/>
          <w:sz w:val="22"/>
          <w:szCs w:val="22"/>
          <w:lang w:val="en-US" w:eastAsia="zh-CN"/>
        </w:rPr>
        <w:t>relative energy saving</w:t>
      </w:r>
      <w:r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 xml:space="preserve">, that is, the percentage of the energy consumption of the candidate RIT at a certain load level relative to the energy consumption in the full-load state. </w:t>
      </w:r>
      <w:r>
        <w:rPr>
          <w:rFonts w:hint="default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 xml:space="preserve">The minimum requirement for </w:t>
      </w:r>
      <w:r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>the relative energy saving is  a percentage.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 xml:space="preserve">This method involves use of  power model, which includes the relative power consumption of a base station or device in different power states. For example, according to the differences in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power consumption, the power states of the base station </w:t>
      </w:r>
      <w:r>
        <w:rPr>
          <w:rFonts w:hint="eastAsia" w:cs="Times New Roman"/>
          <w:sz w:val="22"/>
          <w:szCs w:val="22"/>
          <w:lang w:val="en-US" w:eastAsia="zh-CN"/>
        </w:rPr>
        <w:t>could be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</w:t>
      </w:r>
      <w:r>
        <w:rPr>
          <w:rFonts w:hint="eastAsia" w:cs="Times New Roman"/>
          <w:sz w:val="22"/>
          <w:szCs w:val="22"/>
          <w:lang w:val="en-US" w:eastAsia="zh-CN"/>
        </w:rPr>
        <w:t>defined as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deep sleep, light sleep, and micro sleep</w:t>
      </w:r>
      <w:r>
        <w:rPr>
          <w:rFonts w:hint="eastAsia" w:cs="Times New Roman"/>
          <w:sz w:val="22"/>
          <w:szCs w:val="22"/>
          <w:lang w:val="en-US" w:eastAsia="zh-CN"/>
        </w:rPr>
        <w:t>. A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nd the power consumption of the base station in the </w:t>
      </w:r>
      <w:r>
        <w:rPr>
          <w:rFonts w:hint="eastAsia" w:cs="Times New Roman"/>
          <w:sz w:val="22"/>
          <w:szCs w:val="22"/>
          <w:lang w:val="en-US" w:eastAsia="zh-CN"/>
        </w:rPr>
        <w:t>d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eep sleep state </w:t>
      </w:r>
      <w:r>
        <w:rPr>
          <w:rFonts w:hint="eastAsia" w:cs="Times New Roman"/>
          <w:sz w:val="22"/>
          <w:szCs w:val="22"/>
          <w:lang w:val="en-US" w:eastAsia="zh-CN"/>
        </w:rPr>
        <w:t>can be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taken as the reference value of one power unit, and the relative power consumption</w:t>
      </w:r>
      <w:r>
        <w:rPr>
          <w:rFonts w:hint="eastAsia" w:cs="Times New Roman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in other power states </w:t>
      </w:r>
      <w:r>
        <w:rPr>
          <w:rFonts w:hint="eastAsia" w:cs="Times New Roman"/>
          <w:sz w:val="22"/>
          <w:szCs w:val="22"/>
          <w:lang w:val="en-US" w:eastAsia="zh-CN"/>
        </w:rPr>
        <w:t>could be calculated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.  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</w:p>
    <w:p>
      <w:pPr>
        <w:spacing w:before="120" w:after="120"/>
        <w:jc w:val="both"/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Option B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 xml:space="preserve">: 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The candidate TPR for sustainability can be defined as energy efficiency in relation to traffic capacity, that is the traffic capacity per unit of power consumption (in Mbps/Power Unit) while meeting certain quality of service (QoS) target,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such as data rate,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latency,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reliability,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etc.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>Let Ca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vg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 denote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t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>he a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verage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 traffic capacity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ko-KR"/>
        </w:rPr>
        <w:t xml:space="preserve"> (in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Mbps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ko-KR"/>
        </w:rPr>
        <w:t xml:space="preserve">)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during the evaluation time.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 Further, let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P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>a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vg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 denote the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ko-KR"/>
        </w:rPr>
        <w:t xml:space="preserve"> average power consumption (in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Power Unit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ko-KR"/>
        </w:rPr>
        <w:t xml:space="preserve">) of network during the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evaluation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ko-KR"/>
        </w:rPr>
        <w:t>time.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Energy efficiency in relation to traffic capacity is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>denoted as: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ab/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ab/>
      </w:r>
      <m:oMath>
        <m:sSub>
          <m:sSubP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sSubPr>
          <m:e>
            <m:acc>
              <m:accPr>
                <m:ctrl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  <m:t>E</m:t>
                </m:r>
                <m:r>
                  <m:rPr>
                    <m:sty m:val="p"/>
                  </m:r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GB" w:eastAsia="zh-CN"/>
                  </w:rPr>
                  <m:t>E</m:t>
                </m:r>
                <m:ctrl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</m:ctrlPr>
              </m:e>
            </m:acc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GB" w:eastAsia="zh-CN"/>
              </w:rPr>
              <m:t>avg</m:t>
            </m: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sub>
        </m:sSub>
        <m:r>
          <m:rPr>
            <m:sty m:val="p"/>
          </m:rPr>
          <w:rPr>
            <w:rFonts w:hint="eastAsia" w:ascii="DejaVu Math TeX Gyre" w:hAnsi="DejaVu Math TeX Gyre" w:cs="Times New Roman" w:eastAsiaTheme="minorEastAsia"/>
            <w:sz w:val="22"/>
            <w:szCs w:val="22"/>
            <w:lang w:val="en-US" w:eastAsia="zh-CN"/>
          </w:rPr>
          <m:t xml:space="preserve">= </m:t>
        </m:r>
        <m:f>
          <m:fP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GB" w:eastAsia="zh-CN"/>
              </w:rPr>
              <m:t>Ca</m:t>
            </m:r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  <m:t>vg</m:t>
            </m: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  <m:t>P</m:t>
            </m:r>
            <m:r>
              <m:rPr>
                <m:sty m:val="p"/>
              </m:r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GB" w:eastAsia="zh-CN"/>
              </w:rPr>
              <m:t>a</m:t>
            </m:r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  <m:t>vg</m:t>
            </m: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den>
        </m:f>
      </m:oMath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</w:pP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where </w:t>
      </w:r>
      <m:oMath>
        <m:sSub>
          <m:sSubP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sSubPr>
          <m:e>
            <m:acc>
              <m:accPr>
                <m:ctrl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  <m:t>E</m:t>
                </m:r>
                <m:r>
                  <m:rPr>
                    <m:sty m:val="p"/>
                  </m:r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GB" w:eastAsia="zh-CN"/>
                  </w:rPr>
                  <m:t>E</m:t>
                </m:r>
                <m:ctrlPr>
                  <w:rPr>
                    <w:rFonts w:hint="eastAsia" w:ascii="DejaVu Math TeX Gyre" w:hAnsi="DejaVu Math TeX Gyre" w:cs="Times New Roman" w:eastAsiaTheme="minorEastAsia"/>
                    <w:sz w:val="22"/>
                    <w:szCs w:val="22"/>
                    <w:lang w:val="en-US" w:eastAsia="zh-CN"/>
                  </w:rPr>
                </m:ctrlPr>
              </m:e>
            </m:acc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GB" w:eastAsia="zh-CN"/>
              </w:rPr>
              <m:t>avg</m:t>
            </m:r>
            <m:ctrlPr>
              <w:rPr>
                <w:rFonts w:hint="eastAsia" w:ascii="DejaVu Math TeX Gyre" w:hAnsi="DejaVu Math TeX Gyre" w:cs="Times New Roman" w:eastAsiaTheme="minorEastAsia"/>
                <w:sz w:val="22"/>
                <w:szCs w:val="22"/>
                <w:lang w:val="en-US" w:eastAsia="zh-CN"/>
              </w:rPr>
            </m:ctrlPr>
          </m:sub>
        </m:sSub>
      </m:oMath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 xml:space="preserve"> is the estimated average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energy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GB" w:eastAsia="zh-CN"/>
        </w:rPr>
        <w:t>efficiency.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auto"/>
          <w:sz w:val="22"/>
          <w:szCs w:val="22"/>
          <w:lang w:val="en-US" w:eastAsia="zh-CN"/>
        </w:rPr>
        <w:t xml:space="preserve">This method also involves use of  power model, besides </w:t>
      </w:r>
      <w:r>
        <w:rPr>
          <w:rFonts w:hint="eastAsia" w:cs="Times New Roman"/>
          <w:color w:val="auto"/>
          <w:sz w:val="22"/>
          <w:szCs w:val="22"/>
          <w:lang w:val="en-US" w:eastAsia="zh-CN"/>
        </w:rPr>
        <w:t xml:space="preserve">Option B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requires detailed reference configuration and traffic model to ensure that the same </w:t>
      </w:r>
      <w:r>
        <w:rPr>
          <w:rFonts w:hint="eastAsia" w:cs="Times New Roman"/>
          <w:sz w:val="22"/>
          <w:szCs w:val="22"/>
          <w:lang w:val="en-US" w:eastAsia="zh-CN"/>
        </w:rPr>
        <w:t xml:space="preserve">simulation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assumptions are used in the</w:t>
      </w:r>
      <w:r>
        <w:rPr>
          <w:rFonts w:hint="eastAsia" w:cs="Times New Roman"/>
          <w:sz w:val="22"/>
          <w:szCs w:val="22"/>
          <w:lang w:val="en-US" w:eastAsia="zh-CN"/>
        </w:rPr>
        <w:t xml:space="preserve"> evaluation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from different sourc</w:t>
      </w:r>
      <w:r>
        <w:rPr>
          <w:rFonts w:hint="eastAsia" w:cs="Times New Roman"/>
          <w:sz w:val="22"/>
          <w:szCs w:val="22"/>
          <w:lang w:val="en-US" w:eastAsia="zh-CN"/>
        </w:rPr>
        <w:t>ing companies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Proposal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 xml:space="preserve"> 2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: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R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elative energy saving or energy efficiency could be considered as representative TPR for sustainability.</w:t>
      </w:r>
    </w:p>
    <w:p>
      <w:pPr>
        <w:spacing w:before="120" w:after="120"/>
        <w:jc w:val="both"/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 xml:space="preserve">Both Option A and Option B require </w:t>
      </w:r>
      <w:r>
        <w:rPr>
          <w:rFonts w:hint="eastAsia" w:cs="Times New Roman"/>
          <w:sz w:val="22"/>
          <w:szCs w:val="22"/>
          <w:lang w:val="en-US" w:eastAsia="zh-CN"/>
        </w:rPr>
        <w:t>using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 xml:space="preserve"> power model to evaluate the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relative energy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 xml:space="preserve"> consumption.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Currently, there is no unified power model </w:t>
      </w:r>
      <w:r>
        <w:rPr>
          <w:rFonts w:hint="eastAsia" w:cs="Times New Roman"/>
          <w:sz w:val="22"/>
          <w:szCs w:val="22"/>
          <w:lang w:val="en-US" w:eastAsia="zh-CN"/>
        </w:rPr>
        <w:t>which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can be applied to different RATs. </w:t>
      </w:r>
      <w:r>
        <w:rPr>
          <w:rFonts w:hint="eastAsia" w:cs="Times New Roman"/>
          <w:sz w:val="22"/>
          <w:szCs w:val="22"/>
          <w:lang w:val="en-US" w:eastAsia="zh-CN"/>
        </w:rPr>
        <w:t>P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ower model</w:t>
      </w:r>
      <w:r>
        <w:rPr>
          <w:rFonts w:hint="eastAsia" w:cs="Times New Roman"/>
          <w:sz w:val="22"/>
          <w:szCs w:val="22"/>
          <w:lang w:val="en-US" w:eastAsia="zh-CN"/>
        </w:rPr>
        <w:t xml:space="preserve">s for IMT-2030 should be further discussed and decided. 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ower model defined i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 xml:space="preserve">n 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instrText xml:space="preserve"> HYPERLINK "https://portal.3gpp.org/desktopmodules/Specifications/SpecificationDetails.aspx?specificationId=3987" </w:instrTex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>3GPP TR 38.864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fldChar w:fldCharType="end"/>
      </w: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can be used as the baseline</w:t>
      </w:r>
      <w:r>
        <w:rPr>
          <w:rFonts w:hint="eastAsia" w:cs="Times New Roman"/>
          <w:sz w:val="22"/>
          <w:szCs w:val="22"/>
          <w:lang w:val="en-US" w:eastAsia="zh-CN"/>
        </w:rPr>
        <w:t xml:space="preserve"> or starting point</w:t>
      </w:r>
      <w:r>
        <w:rPr>
          <w:sz w:val="22"/>
          <w:szCs w:val="22"/>
          <w:lang w:val="en-US" w:eastAsia="zh-CN"/>
        </w:rPr>
        <w:t xml:space="preserve"> for future </w:t>
      </w:r>
      <w:r>
        <w:rPr>
          <w:rFonts w:hint="eastAsia"/>
          <w:sz w:val="22"/>
          <w:szCs w:val="22"/>
          <w:lang w:val="en-US" w:eastAsia="zh-CN"/>
        </w:rPr>
        <w:t>discussion</w:t>
      </w:r>
      <w:r>
        <w:rPr>
          <w:sz w:val="22"/>
          <w:szCs w:val="22"/>
          <w:lang w:val="en-US" w:eastAsia="zh-CN"/>
        </w:rPr>
        <w:t>.</w:t>
      </w:r>
    </w:p>
    <w:p>
      <w:pPr>
        <w:spacing w:before="120" w:after="120"/>
        <w:jc w:val="both"/>
        <w:rPr>
          <w:rFonts w:hint="eastAsia" w:ascii="Times New Roman" w:hAnsi="Times New Roman" w:cs="Times New Roman" w:eastAsiaTheme="minorEastAsia"/>
          <w:sz w:val="22"/>
          <w:szCs w:val="22"/>
          <w:lang w:val="en-US" w:eastAsia="ko-KR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Compared with Option B, 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Option A can only be used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to evaluate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 the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effect of energy 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saving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 between 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different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load status 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within the same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RAT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, 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and it</w:t>
      </w:r>
      <w:r>
        <w:rPr>
          <w:rFonts w:hint="default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>’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s difficult to reflect the performance enhancement of IMT-2030 over IMT2020. Operators hope that 6G will improve system performance and enhance energy efficiency </w:t>
      </w:r>
      <w:r>
        <w:rPr>
          <w:rFonts w:hint="eastAsia" w:cs="Times New Roman"/>
          <w:b w:val="0"/>
          <w:bCs w:val="0"/>
          <w:sz w:val="22"/>
          <w:szCs w:val="22"/>
          <w:lang w:val="en-US" w:eastAsia="zh-CN"/>
        </w:rPr>
        <w:t>beyond</w:t>
      </w:r>
      <w:r>
        <w:rPr>
          <w:rFonts w:hint="eastAsia" w:ascii="Times New Roman" w:hAnsi="Times New Roman" w:cs="Times New Roman" w:eastAsiaTheme="minorEastAsia"/>
          <w:b w:val="0"/>
          <w:bCs w:val="0"/>
          <w:sz w:val="22"/>
          <w:szCs w:val="22"/>
          <w:lang w:val="en-US" w:eastAsia="zh-CN"/>
        </w:rPr>
        <w:t xml:space="preserve"> 5G.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 However,</w:t>
      </w:r>
      <w: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>Option B requires detailed reference configuration and traffic model,</w:t>
      </w:r>
      <w:r>
        <w:rPr>
          <w:rFonts w:hint="eastAsia" w:cs="Times New Roman"/>
          <w:sz w:val="22"/>
          <w:szCs w:val="22"/>
          <w:lang w:val="en-US" w:eastAsia="zh-CN"/>
        </w:rPr>
        <w:t xml:space="preserve"> which may need more time to disucss and agree the final </w:t>
      </w:r>
      <w:r>
        <w:rPr>
          <w:rFonts w:hint="eastAsia" w:ascii="Times New Roman" w:hAnsi="Times New Roman" w:cs="Times New Roman" w:eastAsiaTheme="minorEastAsia"/>
          <w:sz w:val="22"/>
          <w:szCs w:val="22"/>
          <w:lang w:val="en-US" w:eastAsia="zh-CN"/>
        </w:rPr>
        <w:t xml:space="preserve">traffic models. </w:t>
      </w:r>
    </w:p>
    <w:p>
      <w:pPr>
        <w:spacing w:before="120" w:after="120"/>
        <w:jc w:val="both"/>
        <w:rPr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3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: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P</w:t>
      </w:r>
      <w:r>
        <w:rPr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ower model defined i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n 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instrText xml:space="preserve"> HYPERLINK "https://portal.3gpp.org/desktopmodules/Specifications/SpecificationDetails.aspx?specificationId=3987" </w:instrTex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3GPP TR 38.864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end"/>
      </w:r>
      <w:r>
        <w:rPr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can be used as the baseline</w:t>
      </w: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or starting point</w:t>
      </w:r>
      <w:r>
        <w:rPr>
          <w:b/>
          <w:bCs/>
          <w:sz w:val="22"/>
          <w:szCs w:val="22"/>
          <w:lang w:val="en-US" w:eastAsia="zh-CN"/>
        </w:rPr>
        <w:t xml:space="preserve"> for future evaluations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so as to compare the differences in energy efficiency between 5G and 6G.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hint="eastAsia" w:eastAsia="宋体"/>
          <w:b/>
          <w:sz w:val="22"/>
          <w:lang w:val="en-US" w:eastAsia="zh-CN" w:bidi="ar"/>
        </w:rPr>
        <w:t>Proposal 1: It is preferred to define quantitative TPR for sustainability.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hint="eastAsia" w:eastAsia="宋体"/>
          <w:b/>
          <w:sz w:val="22"/>
          <w:lang w:val="en-US" w:eastAsia="zh-CN" w:bidi="ar"/>
        </w:rPr>
        <w:t>Proposal 2: Relative energy saving or energy efficiency could be considered as representative TPR for sustainability.</w:t>
      </w:r>
    </w:p>
    <w:p>
      <w:pPr>
        <w:spacing w:before="120" w:after="120"/>
        <w:jc w:val="both"/>
        <w:rPr>
          <w:rFonts w:eastAsia="宋体"/>
          <w:b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3</w:t>
      </w:r>
      <w:r>
        <w:rPr>
          <w:rFonts w:hint="eastAsia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: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P</w:t>
      </w:r>
      <w:r>
        <w:rPr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ower model defined i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 xml:space="preserve">n 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instrText xml:space="preserve"> HYPERLINK "https://portal.3gpp.org/desktopmodules/Specifications/SpecificationDetails.aspx?specificationId=3987" </w:instrTex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t>3GPP TR 38.864</w:t>
      </w:r>
      <w:r>
        <w:rPr>
          <w:rFonts w:hint="default" w:ascii="Times New Roman" w:hAnsi="Times New Roman" w:cs="Times New Roman" w:eastAsiaTheme="minorEastAsia"/>
          <w:b/>
          <w:bCs/>
          <w:sz w:val="22"/>
          <w:szCs w:val="22"/>
          <w:lang w:val="en-US" w:eastAsia="zh-CN"/>
        </w:rPr>
        <w:fldChar w:fldCharType="end"/>
      </w:r>
      <w:r>
        <w:rPr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can be used as the baseline</w:t>
      </w:r>
      <w:r>
        <w:rPr>
          <w:rFonts w:hint="eastAsia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or starting point</w:t>
      </w:r>
      <w:r>
        <w:rPr>
          <w:b/>
          <w:bCs/>
          <w:sz w:val="22"/>
          <w:szCs w:val="22"/>
          <w:lang w:val="en-US" w:eastAsia="zh-CN"/>
        </w:rPr>
        <w:t xml:space="preserve"> for future evaluations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cs="Times New Roman"/>
          <w:b/>
          <w:bCs/>
          <w:sz w:val="22"/>
          <w:szCs w:val="22"/>
          <w:lang w:val="en-US" w:eastAsia="zh-CN"/>
        </w:rPr>
        <w:t>so as to compare the differences in energy efficiency between 5G and 6G.</w:t>
      </w:r>
    </w:p>
    <w:p>
      <w:pPr>
        <w:pStyle w:val="2"/>
      </w:pPr>
      <w:r>
        <w:t>4   References</w:t>
      </w:r>
      <w:bookmarkStart w:id="2" w:name="_GoBack"/>
      <w:bookmarkEnd w:id="2"/>
    </w:p>
    <w:p>
      <w:pPr>
        <w:pStyle w:val="70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rFonts w:hint="eastAsia"/>
          <w:lang w:eastAsia="zh-CN"/>
        </w:rPr>
      </w:pPr>
      <w:r>
        <w:rPr>
          <w:rFonts w:hint="eastAsia"/>
          <w:lang w:eastAsia="zh-CN"/>
        </w:rPr>
        <w:t>RP-242873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Scope of RAN-level SID focusing on ITU IMT-2030 and initial considerations on IMT-2030 TPRs</w:t>
      </w:r>
      <w:r>
        <w:rPr>
          <w:rFonts w:hint="eastAsia"/>
          <w:lang w:val="en-US" w:eastAsia="zh-CN"/>
        </w:rPr>
        <w:t>;</w:t>
      </w:r>
      <w:r>
        <w:rPr>
          <w:rFonts w:hint="eastAsia"/>
          <w:lang w:eastAsia="zh-CN"/>
        </w:rPr>
        <w:t xml:space="preserve"> Huawei, HiSilicon, CAICT, 3GPP TSG#106, December 9-12, 2024</w:t>
      </w:r>
    </w:p>
    <w:p>
      <w:pPr>
        <w:pStyle w:val="70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rFonts w:hint="eastAsia"/>
          <w:lang w:eastAsia="zh-CN"/>
        </w:rPr>
      </w:pPr>
      <w:r>
        <w:rPr>
          <w:rFonts w:hint="eastAsia"/>
          <w:lang w:eastAsia="zh-CN"/>
        </w:rPr>
        <w:t>RP-243279</w:t>
      </w:r>
      <w:r>
        <w:rPr>
          <w:lang w:val="en-US" w:eastAsia="zh-CN"/>
        </w:rPr>
        <w:t>:</w:t>
      </w:r>
      <w:r>
        <w:rPr>
          <w:rFonts w:hint="eastAsia"/>
          <w:lang w:eastAsia="zh-CN"/>
        </w:rPr>
        <w:t xml:space="preserve"> Moderator's summary for discussion on IMT-2030 TPRs</w:t>
      </w:r>
      <w:r>
        <w:rPr>
          <w:rFonts w:hint="eastAsia"/>
          <w:lang w:val="en-US" w:eastAsia="zh-CN"/>
        </w:rPr>
        <w:t xml:space="preserve">; </w:t>
      </w:r>
      <w:r>
        <w:rPr>
          <w:rFonts w:hint="eastAsia"/>
          <w:lang w:eastAsia="zh-CN"/>
        </w:rPr>
        <w:t xml:space="preserve"> Moderator (CMCC), 3GPP TSG#106 , December 9-12, 2024</w:t>
      </w:r>
    </w:p>
    <w:p>
      <w:pPr>
        <w:pStyle w:val="70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rPr>
          <w:lang w:eastAsia="zh-CN"/>
        </w:rPr>
      </w:pPr>
      <w:r>
        <w:rPr>
          <w:rFonts w:hint="eastAsia"/>
          <w:lang w:eastAsia="zh-CN"/>
        </w:rPr>
        <w:t>Report ITU-R M.2410-0 (11/2017)</w:t>
      </w:r>
      <w:r>
        <w:rPr>
          <w:lang w:val="en-US" w:eastAsia="zh-CN"/>
        </w:rPr>
        <w:t>:</w:t>
      </w:r>
      <w:r>
        <w:rPr>
          <w:rFonts w:hint="eastAsia"/>
          <w:lang w:eastAsia="zh-CN"/>
        </w:rPr>
        <w:t xml:space="preserve"> “Minimum requirements related to technical performance for IMT-2020 radio interface(s)”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88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81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417008"/>
    <w:rsid w:val="02DB5880"/>
    <w:rsid w:val="03425F66"/>
    <w:rsid w:val="04C95396"/>
    <w:rsid w:val="059D0A04"/>
    <w:rsid w:val="079072D0"/>
    <w:rsid w:val="083F3E39"/>
    <w:rsid w:val="08B72D4B"/>
    <w:rsid w:val="0921460E"/>
    <w:rsid w:val="09E35FBD"/>
    <w:rsid w:val="09F80663"/>
    <w:rsid w:val="0AA048AC"/>
    <w:rsid w:val="0AF94C1A"/>
    <w:rsid w:val="0C672BD3"/>
    <w:rsid w:val="0CD26045"/>
    <w:rsid w:val="0E724F12"/>
    <w:rsid w:val="0F4A2AF6"/>
    <w:rsid w:val="0F545BF0"/>
    <w:rsid w:val="0FBB2283"/>
    <w:rsid w:val="0FD61908"/>
    <w:rsid w:val="118229E2"/>
    <w:rsid w:val="12D33B16"/>
    <w:rsid w:val="14D45BDA"/>
    <w:rsid w:val="163B5AC6"/>
    <w:rsid w:val="18680694"/>
    <w:rsid w:val="19436BAF"/>
    <w:rsid w:val="1B5F4A6D"/>
    <w:rsid w:val="1CFF51A9"/>
    <w:rsid w:val="1D9D1C14"/>
    <w:rsid w:val="1DEF3CAD"/>
    <w:rsid w:val="1E0E6FDF"/>
    <w:rsid w:val="1E37416A"/>
    <w:rsid w:val="1E7A730A"/>
    <w:rsid w:val="1F457054"/>
    <w:rsid w:val="1F8B2051"/>
    <w:rsid w:val="2044198C"/>
    <w:rsid w:val="206E0E34"/>
    <w:rsid w:val="20762ED5"/>
    <w:rsid w:val="207E4B10"/>
    <w:rsid w:val="20CD4DF2"/>
    <w:rsid w:val="22CB4428"/>
    <w:rsid w:val="230332E7"/>
    <w:rsid w:val="24BA1A4C"/>
    <w:rsid w:val="2573337B"/>
    <w:rsid w:val="258A1B50"/>
    <w:rsid w:val="26781317"/>
    <w:rsid w:val="27B91DCD"/>
    <w:rsid w:val="29B22406"/>
    <w:rsid w:val="2A8932B0"/>
    <w:rsid w:val="2AC56CA8"/>
    <w:rsid w:val="2B6D7ACB"/>
    <w:rsid w:val="2C523826"/>
    <w:rsid w:val="2C7E592F"/>
    <w:rsid w:val="2D8B7035"/>
    <w:rsid w:val="2F3F3D6E"/>
    <w:rsid w:val="3122543A"/>
    <w:rsid w:val="312D0DEF"/>
    <w:rsid w:val="33511F0D"/>
    <w:rsid w:val="335A38EA"/>
    <w:rsid w:val="35AC3967"/>
    <w:rsid w:val="35E368FD"/>
    <w:rsid w:val="3665586F"/>
    <w:rsid w:val="382B160E"/>
    <w:rsid w:val="39FC7F63"/>
    <w:rsid w:val="3B1C15B4"/>
    <w:rsid w:val="3B7522D1"/>
    <w:rsid w:val="3CC94D80"/>
    <w:rsid w:val="3E04574F"/>
    <w:rsid w:val="3E902592"/>
    <w:rsid w:val="3EBF38CA"/>
    <w:rsid w:val="3EFA6A59"/>
    <w:rsid w:val="3F102102"/>
    <w:rsid w:val="40ED17D5"/>
    <w:rsid w:val="41133AB4"/>
    <w:rsid w:val="41B23B2A"/>
    <w:rsid w:val="425659E6"/>
    <w:rsid w:val="429B4810"/>
    <w:rsid w:val="454B01DC"/>
    <w:rsid w:val="466F7668"/>
    <w:rsid w:val="49F42EAF"/>
    <w:rsid w:val="4B2F5149"/>
    <w:rsid w:val="4B4177FD"/>
    <w:rsid w:val="4C6946B6"/>
    <w:rsid w:val="4C7401D0"/>
    <w:rsid w:val="4D077EEE"/>
    <w:rsid w:val="4E631DD7"/>
    <w:rsid w:val="4EE12FB5"/>
    <w:rsid w:val="4EEB36F7"/>
    <w:rsid w:val="4FAE5593"/>
    <w:rsid w:val="506A7F16"/>
    <w:rsid w:val="50791A93"/>
    <w:rsid w:val="51C61026"/>
    <w:rsid w:val="53063320"/>
    <w:rsid w:val="573F71C2"/>
    <w:rsid w:val="57F24B59"/>
    <w:rsid w:val="5A713592"/>
    <w:rsid w:val="5AD325FC"/>
    <w:rsid w:val="5C9B2EC8"/>
    <w:rsid w:val="5CBF7B5D"/>
    <w:rsid w:val="5DEB4069"/>
    <w:rsid w:val="5DF47CB1"/>
    <w:rsid w:val="607F29C9"/>
    <w:rsid w:val="614A0049"/>
    <w:rsid w:val="6253185F"/>
    <w:rsid w:val="633140F4"/>
    <w:rsid w:val="640D40B4"/>
    <w:rsid w:val="642B6952"/>
    <w:rsid w:val="648E266A"/>
    <w:rsid w:val="649B678A"/>
    <w:rsid w:val="64C322D9"/>
    <w:rsid w:val="6BEC00A0"/>
    <w:rsid w:val="6D1F4A0B"/>
    <w:rsid w:val="6DB4457F"/>
    <w:rsid w:val="6E4377B3"/>
    <w:rsid w:val="6E8B01B0"/>
    <w:rsid w:val="6F686D97"/>
    <w:rsid w:val="707B5B04"/>
    <w:rsid w:val="71657AF4"/>
    <w:rsid w:val="7232223C"/>
    <w:rsid w:val="72394C9A"/>
    <w:rsid w:val="74144EAD"/>
    <w:rsid w:val="742B5F4A"/>
    <w:rsid w:val="77097545"/>
    <w:rsid w:val="772A053C"/>
    <w:rsid w:val="77585FE5"/>
    <w:rsid w:val="77C656C3"/>
    <w:rsid w:val="77F178AE"/>
    <w:rsid w:val="7833619E"/>
    <w:rsid w:val="785C0605"/>
    <w:rsid w:val="7905736E"/>
    <w:rsid w:val="790836EE"/>
    <w:rsid w:val="791252B1"/>
    <w:rsid w:val="7A5614FA"/>
    <w:rsid w:val="7AE30252"/>
    <w:rsid w:val="7C8D5A29"/>
    <w:rsid w:val="7D7C001B"/>
    <w:rsid w:val="7DA237BE"/>
    <w:rsid w:val="7E5D1D5E"/>
    <w:rsid w:val="7EEF3A4D"/>
    <w:rsid w:val="7F9F281C"/>
    <w:rsid w:val="7FA855FD"/>
    <w:rsid w:val="AFA7C190"/>
    <w:rsid w:val="E719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5"/>
    <w:qFormat/>
    <w:uiPriority w:val="0"/>
  </w:style>
  <w:style w:type="paragraph" w:styleId="20">
    <w:name w:val="Body Text"/>
    <w:basedOn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7">
    <w:name w:val="annotation subject"/>
    <w:basedOn w:val="19"/>
    <w:next w:val="19"/>
    <w:link w:val="86"/>
    <w:semiHidden/>
    <w:unhideWhenUsed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annotation reference"/>
    <w:qFormat/>
    <w:uiPriority w:val="0"/>
    <w:rPr>
      <w:sz w:val="16"/>
      <w:szCs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页眉 字符"/>
    <w:link w:val="24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9">
    <w:name w:val="CR Cover Page"/>
    <w:link w:val="7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0">
    <w:name w:val="List Paragraph"/>
    <w:basedOn w:val="1"/>
    <w:link w:val="76"/>
    <w:qFormat/>
    <w:uiPriority w:val="99"/>
    <w:pPr>
      <w:ind w:left="720"/>
      <w:contextualSpacing/>
    </w:pPr>
  </w:style>
  <w:style w:type="character" w:customStyle="1" w:styleId="71">
    <w:name w:val="批注框文本 字符"/>
    <w:link w:val="22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2">
    <w:name w:val="main text"/>
    <w:basedOn w:val="1"/>
    <w:link w:val="7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3">
    <w:name w:val="main text Char"/>
    <w:link w:val="72"/>
    <w:qFormat/>
    <w:uiPriority w:val="0"/>
    <w:rPr>
      <w:rFonts w:eastAsia="Malgun Gothic" w:cs="Batang"/>
      <w:lang w:val="en-GB" w:eastAsia="ko-KR"/>
    </w:rPr>
  </w:style>
  <w:style w:type="character" w:customStyle="1" w:styleId="74">
    <w:name w:val="CR Cover Page Zchn"/>
    <w:link w:val="69"/>
    <w:qFormat/>
    <w:uiPriority w:val="0"/>
    <w:rPr>
      <w:rFonts w:ascii="Arial" w:hAnsi="Arial" w:eastAsia="MS Mincho"/>
      <w:lang w:val="en-GB"/>
    </w:rPr>
  </w:style>
  <w:style w:type="paragraph" w:customStyle="1" w:styleId="75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6">
    <w:name w:val="列出段落 字符"/>
    <w:link w:val="70"/>
    <w:qFormat/>
    <w:locked/>
    <w:uiPriority w:val="99"/>
    <w:rPr>
      <w:lang w:val="en-GB"/>
    </w:rPr>
  </w:style>
  <w:style w:type="paragraph" w:customStyle="1" w:styleId="77">
    <w:name w:val="Doc-title"/>
    <w:basedOn w:val="1"/>
    <w:next w:val="78"/>
    <w:link w:val="80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8">
    <w:name w:val="Doc-text2"/>
    <w:basedOn w:val="1"/>
    <w:link w:val="7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9">
    <w:name w:val="Doc-text2 Char"/>
    <w:link w:val="7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0">
    <w:name w:val="Doc-title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1">
    <w:name w:val="Agreement"/>
    <w:basedOn w:val="1"/>
    <w:next w:val="78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"/>
    <w:basedOn w:val="1"/>
    <w:next w:val="83"/>
    <w:link w:val="84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3">
    <w:name w:val="EmailDiscussion2"/>
    <w:basedOn w:val="78"/>
    <w:qFormat/>
    <w:uiPriority w:val="0"/>
  </w:style>
  <w:style w:type="character" w:customStyle="1" w:styleId="84">
    <w:name w:val="EmailDiscussion Char"/>
    <w:link w:val="82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5">
    <w:name w:val="批注文字 字符"/>
    <w:basedOn w:val="30"/>
    <w:link w:val="19"/>
    <w:qFormat/>
    <w:uiPriority w:val="0"/>
    <w:rPr>
      <w:lang w:val="en-GB" w:eastAsia="en-US"/>
    </w:rPr>
  </w:style>
  <w:style w:type="character" w:customStyle="1" w:styleId="86">
    <w:name w:val="批注主题 字符"/>
    <w:basedOn w:val="85"/>
    <w:link w:val="27"/>
    <w:semiHidden/>
    <w:qFormat/>
    <w:uiPriority w:val="0"/>
    <w:rPr>
      <w:b/>
      <w:bCs/>
      <w:lang w:val="en-GB" w:eastAsia="en-US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8">
    <w:name w:val="Proposal"/>
    <w:basedOn w:val="20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89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yjyunnicom\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StyleName="APA" SelectedStyle="\APASixthEditionOfficeOnline.xsl" Version="6"/>
</file>

<file path=customXml/item3.xml><?xml version="1.0" encoding="utf-8"?>
<ct:contentTypeSchema xmlns:ct="http://schemas.microsoft.com/office/2006/metadata/contentType" xmlns:ma="http://schemas.microsoft.com/office/2006/metadata/properties/metaAttributes" contentTypeDescription="Create a new document." contentTypeScope="" contentTypeName="Document" versionID="0af50fc50ca3aca08309c1c8e49506d0" contentTypeID="0x010100EB28163D68FE8E4D9361964FDD814FC4" contentTypeVersion="10" _="">
  <xsd:schema xmlns:xsd="http://www.w3.org/2001/XMLSchema" xmlns:ma="http://schemas.microsoft.com/office/2006/metadata/properties/metaAttributes" ma:root="true" targetNamespace="http://schemas.microsoft.com/office/2006/metadata/properties" _="" ma:fieldsID="ab7cead838d7b5c48c4a7e8e06594044">
    <xsd:import xmlns:xsd="http://www.w3.org/2001/XMLSchema" namespace="cc9c437c-ae0c-4066-8d90-a0f7de786127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MediaServiceMetadata" minOccurs="0"/>
                <xsd:element xmlns:xsd="http://www.w3.org/2001/XMLSchema" ref="ns3:MediaServiceFastMetadata" minOccurs="0"/>
                <xsd:element xmlns:xsd="http://www.w3.org/2001/XMLSchema" ref="ns3:MediaServiceDateTaken" minOccurs="0"/>
                <xsd:element xmlns:xsd="http://www.w3.org/2001/XMLSchema" ref="ns3:MediaServiceAutoTags" minOccurs="0"/>
                <xsd:element xmlns:xsd="http://www.w3.org/2001/XMLSchema" ref="ns3:MediaServiceOCR" minOccurs="0"/>
                <xsd:element xmlns:xsd="http://www.w3.org/2001/XMLSchema" ref="ns3:MediaServiceGenerationTime" minOccurs="0"/>
                <xsd:element xmlns:xsd="http://www.w3.org/2001/XMLSchema" ref="ns3:MediaServiceEventHashCode" minOccurs="0"/>
                <xsd:element xmlns:xsd="http://www.w3.org/2001/XMLSchema" ref="ns3:MediaServiceLocation" minOccurs="0"/>
                <xsd:element xmlns:xsd="http://www.w3.org/2001/XMLSchema" ref="ns3:MediaServiceAutoKeyPoints" minOccurs="0"/>
                <xsd:element xmlns:xsd="http://www.w3.org/2001/XMLSchema" ref="ns3:MediaServiceKeyPoints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cc9c437c-ae0c-4066-8d90-a0f7de786127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readOnly="true" ma:internalName="MediaServiceMetadata" ma:description="" nillable="true" name="MediaServiceMetadata" ma:index="8" ma:displayName="MediaService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FastMetadata" ma:description="" nillable="true" name="MediaServiceFastMetadata" ma:index="9" ma:displayName="MediaServiceFast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DateTaken" nillable="true" name="MediaServiceDateTaken" ma:index="10" ma:displayName="MediaServiceDateTaken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Tags" nillable="true" name="MediaServiceAutoTags" ma:index="11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OCR" nillable="true" name="MediaServiceOCR" ma:index="12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readOnly="true" ma:internalName="MediaServiceGenerationTime" nillable="true" name="MediaServiceGenerationTime" ma:index="13" ma:displayName="MediaServiceGenerationTim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EventHashCode" nillable="true" name="MediaServiceEventHashCode" ma:index="14" ma:displayName="MediaServiceEventHashCod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Location" nillable="true" name="MediaServiceLocation" ma:index="15" ma:displayName="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KeyPoints" nillable="true" name="MediaServiceAutoKeyPoints" ma:index="16" ma:displayName="MediaServiceAutoKeyPoints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KeyPoints" nillable="true" name="MediaServiceKeyPoints" ma:index="17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http://schemas.openxmlformats.org/package/2006/metadata/core-properties" blockDefault="#all" attributeFormDefault="unqualified">
    <xsd:import xmlns:xsd="http://www.w3.org/2001/XMLSchema" schemaLocation="http://dublincore.org/schemas/xmls/qdc/2003/04/02/dc.xsd" namespace="http://purl.org/dc/elements/1.1/"/>
    <xsd:import xmlns:xsd="http://www.w3.org/2001/XMLSchema" schemaLocation="http://dublincore.org/schemas/xmls/qdc/2003/04/02/dcterms.xsd" namespace="http://purl.org/dc/terms/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xOccurs="1" name="contentType" ma:index="0" ma:displayName="Content Type" minOccurs="0" type="xsd:string"/>
        <xsd:element xmlns:xsd="http://www.w3.org/2001/XMLSchema" xmlns:ma="http://schemas.microsoft.com/office/2006/metadata/properties/metaAttributes" ref="dc:title" maxOccurs="1" ma:index="4" ma:displayName="Title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minOccurs="0" type="xsd:string"/>
        <xsd:element xmlns:xsd="http://www.w3.org/2001/XMLSchema" ref="dc:language" maxOccurs="1" minOccurs="0"/>
        <xsd:element xmlns:xsd="http://www.w3.org/2001/XMLSchema" maxOccurs="1" name="category" minOccurs="0" type="xsd:string"/>
        <xsd:element xmlns:xsd="http://www.w3.org/2001/XMLSchema" maxOccurs="1" name="version" minOccurs="0" type="xsd:string"/>
        <xsd:element xmlns:xsd="http://www.w3.org/2001/XMLSchema" maxOccurs="1" name="revision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minOccurs="0" type="xsd:string"/>
        <xsd:element xmlns:xsd="http://www.w3.org/2001/XMLSchema" ref="dcterms:modified" maxOccurs="1" minOccurs="0"/>
        <xsd:element xmlns:xsd="http://www.w3.org/2001/XMLSchema" maxOccurs="1" name="contentStatus" minOccurs="0" type="xsd:string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4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8C969A-B179-44C9-9E61-F8CF0A81168B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6</Pages>
  <Words>2007</Words>
  <Characters>11444</Characters>
  <Lines>95</Lines>
  <Paragraphs>26</Paragraphs>
  <TotalTime>8</TotalTime>
  <ScaleCrop>false</ScaleCrop>
  <LinksUpToDate>false</LinksUpToDate>
  <CharactersWithSpaces>13425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2022-08-05T21:40:00Z</dcterms:created>
  <dc:creator>Nokia</dc:creator>
  <cp:lastModifiedBy>unicom</cp:lastModifiedBy>
  <dcterms:modified xsi:type="dcterms:W3CDTF">2025-03-03T14:41:35Z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23F80313C3DB45FD993A4E4D9CE0B59F</vt:lpwstr>
  </property>
</Properties>
</file>